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80" w:rsidRDefault="003F6480">
      <w:pPr>
        <w:rPr>
          <w:sz w:val="52"/>
          <w:szCs w:val="52"/>
        </w:rPr>
      </w:pPr>
      <w:r>
        <w:rPr>
          <w:noProof/>
          <w:sz w:val="52"/>
          <w:szCs w:val="52"/>
          <w:lang w:eastAsia="en-AU"/>
        </w:rPr>
        <w:drawing>
          <wp:anchor distT="0" distB="0" distL="114300" distR="114300" simplePos="0" relativeHeight="251660288" behindDoc="1" locked="0" layoutInCell="1" allowOverlap="1" wp14:anchorId="2F5E0B24" wp14:editId="45DE324E">
            <wp:simplePos x="0" y="0"/>
            <wp:positionH relativeFrom="column">
              <wp:posOffset>4922520</wp:posOffset>
            </wp:positionH>
            <wp:positionV relativeFrom="paragraph">
              <wp:posOffset>-553085</wp:posOffset>
            </wp:positionV>
            <wp:extent cx="879475" cy="982345"/>
            <wp:effectExtent l="0" t="0" r="0" b="8255"/>
            <wp:wrapTight wrapText="bothSides">
              <wp:wrapPolygon edited="0">
                <wp:start x="0" y="0"/>
                <wp:lineTo x="0" y="21363"/>
                <wp:lineTo x="21054" y="21363"/>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9475" cy="982345"/>
                    </a:xfrm>
                    <a:prstGeom prst="rect">
                      <a:avLst/>
                    </a:prstGeom>
                  </pic:spPr>
                </pic:pic>
              </a:graphicData>
            </a:graphic>
            <wp14:sizeRelH relativeFrom="page">
              <wp14:pctWidth>0</wp14:pctWidth>
            </wp14:sizeRelH>
            <wp14:sizeRelV relativeFrom="page">
              <wp14:pctHeight>0</wp14:pctHeight>
            </wp14:sizeRelV>
          </wp:anchor>
        </w:drawing>
      </w:r>
      <w:r w:rsidRPr="003F6480">
        <w:rPr>
          <w:noProof/>
          <w:sz w:val="52"/>
          <w:szCs w:val="52"/>
          <w:lang w:eastAsia="en-AU"/>
        </w:rPr>
        <mc:AlternateContent>
          <mc:Choice Requires="wps">
            <w:drawing>
              <wp:anchor distT="0" distB="0" distL="114300" distR="114300" simplePos="0" relativeHeight="251659264" behindDoc="0" locked="0" layoutInCell="1" allowOverlap="1" wp14:anchorId="01E8B95A" wp14:editId="581B6E29">
                <wp:simplePos x="0" y="0"/>
                <wp:positionH relativeFrom="column">
                  <wp:posOffset>312420</wp:posOffset>
                </wp:positionH>
                <wp:positionV relativeFrom="paragraph">
                  <wp:posOffset>-502285</wp:posOffset>
                </wp:positionV>
                <wp:extent cx="4613910" cy="9652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965200"/>
                        </a:xfrm>
                        <a:prstGeom prst="rect">
                          <a:avLst/>
                        </a:prstGeom>
                        <a:noFill/>
                        <a:ln w="9525">
                          <a:noFill/>
                          <a:miter lim="800000"/>
                          <a:headEnd/>
                          <a:tailEnd/>
                        </a:ln>
                      </wps:spPr>
                      <wps:txb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6pt;margin-top:-39.55pt;width:363.3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t1CwIAAPQDAAAOAAAAZHJzL2Uyb0RvYy54bWysU9tu2zAMfR+wfxD0vthJk7Qx4hRduw4D&#10;ugvQ7gMYWY6FSaImKbG7rx8lp2mwvQ3TgyCJ5CHPIbW+HoxmB+mDQlvz6aTkTFqBjbK7mn9/un93&#10;xVmIYBvQaGXNn2Xg15u3b9a9q+QMO9SN9IxAbKh6V/MuRlcVRRCdNBAm6KQlY4veQKSr3xWNh57Q&#10;jS5mZbksevSN8yhkCPR6Nxr5JuO3rRTxa9sGGZmuOdUW8+7zvk17sVlDtfPgOiWOZcA/VGFAWUp6&#10;grqDCGzv1V9QRgmPAds4EWgKbFslZOZAbKblH2weO3AycyFxgjvJFP4frPhy+OaZamp+UV5yZsFQ&#10;k57kENl7HNgs6dO7UJHboyPHONAz9TlzDe4BxY/ALN52YHfyxnvsOwkN1TdNkcVZ6IgTEsi2/4wN&#10;pYF9xAw0tN4k8UgORujUp+dTb1Ipgh7ny+nFakomQbbVckHNzymgeol2PsSPEg1Lh5p76n1Gh8ND&#10;iKkaqF5cUjKL90rr3H9tWU+gi9kiB5xZjIo0nlqZml+VaY0Dk0h+sE0OjqD0eKYE2h5ZJ6Ij5Ths&#10;B3JMUmyxeSb+HscxpG9Dhw79L856GsGah5978JIz/cmShqvpfJ5mNl/mi8sZXfy5ZXtuASsIquaR&#10;s/F4G/Ocj1xvSOtWZRleKznWSqOV1Tl+gzS75/fs9fpZN78BAAD//wMAUEsDBBQABgAIAAAAIQBY&#10;uTW03gAAAAkBAAAPAAAAZHJzL2Rvd25yZXYueG1sTI/BTsMwDIbvSLxDZCRuW7Jqo7Q0naYhriC2&#10;gcQta7y2onGqJlvL22NO7GbLn35/f7GeXCcuOITWk4bFXIFAqrxtqdZw2L/MHkGEaMiazhNq+MEA&#10;6/L2pjC59SO942UXa8EhFHKjoYmxz6UMVYPOhLnvkfh28oMzkdehlnYwI4e7TiZKPUhnWuIPjelx&#10;22D1vTs7DR+vp6/PpXqrn92qH/2kJLlMan1/N22eQESc4j8Mf/qsDiU7Hf2ZbBCdhmWWMKlhlmYL&#10;EAyk6Yq7HHlIMpBlIa8blL8AAAD//wMAUEsBAi0AFAAGAAgAAAAhALaDOJL+AAAA4QEAABMAAAAA&#10;AAAAAAAAAAAAAAAAAFtDb250ZW50X1R5cGVzXS54bWxQSwECLQAUAAYACAAAACEAOP0h/9YAAACU&#10;AQAACwAAAAAAAAAAAAAAAAAvAQAAX3JlbHMvLnJlbHNQSwECLQAUAAYACAAAACEA1ZIrdQsCAAD0&#10;AwAADgAAAAAAAAAAAAAAAAAuAgAAZHJzL2Uyb0RvYy54bWxQSwECLQAUAAYACAAAACEAWLk1tN4A&#10;AAAJAQAADwAAAAAAAAAAAAAAAABlBAAAZHJzL2Rvd25yZXYueG1sUEsFBgAAAAAEAAQA8wAAAHAF&#10;AAAAAA==&#10;" filled="f" stroked="f">
                <v:textbox>
                  <w:txbxContent>
                    <w:p w:rsidR="00420FBE" w:rsidRPr="003F6480" w:rsidRDefault="00420FBE" w:rsidP="003F6480">
                      <w:pPr>
                        <w:spacing w:after="0" w:line="240" w:lineRule="auto"/>
                        <w:jc w:val="right"/>
                        <w:rPr>
                          <w:sz w:val="40"/>
                          <w:szCs w:val="40"/>
                        </w:rPr>
                      </w:pPr>
                      <w:r w:rsidRPr="003F6480">
                        <w:rPr>
                          <w:sz w:val="40"/>
                          <w:szCs w:val="40"/>
                        </w:rPr>
                        <w:t>Shire of Goomalling</w:t>
                      </w:r>
                    </w:p>
                    <w:p w:rsidR="00420FBE" w:rsidRDefault="00420FBE" w:rsidP="003F6480">
                      <w:pPr>
                        <w:spacing w:after="0" w:line="240" w:lineRule="auto"/>
                        <w:jc w:val="right"/>
                      </w:pPr>
                      <w:r>
                        <w:t>32 Quinlan Street (PO Box 118)</w:t>
                      </w:r>
                    </w:p>
                    <w:p w:rsidR="00420FBE" w:rsidRDefault="00420FBE" w:rsidP="003F6480">
                      <w:pPr>
                        <w:spacing w:after="0" w:line="240" w:lineRule="auto"/>
                        <w:jc w:val="right"/>
                      </w:pPr>
                      <w:r>
                        <w:t>GOOMALLING   WA   6460</w:t>
                      </w:r>
                    </w:p>
                    <w:p w:rsidR="00420FBE" w:rsidRDefault="00420FBE" w:rsidP="003F6480">
                      <w:pPr>
                        <w:spacing w:after="0" w:line="240" w:lineRule="auto"/>
                        <w:jc w:val="right"/>
                      </w:pPr>
                      <w:r>
                        <w:t>P: 08 9629 1101 | F: 08 9629 1017 | E: goshire@goomalling.wa.gov.au</w:t>
                      </w:r>
                    </w:p>
                    <w:p w:rsidR="00420FBE" w:rsidRDefault="00420FBE"/>
                    <w:p w:rsidR="00420FBE" w:rsidRDefault="00420FBE"/>
                  </w:txbxContent>
                </v:textbox>
              </v:shape>
            </w:pict>
          </mc:Fallback>
        </mc:AlternateContent>
      </w:r>
    </w:p>
    <w:p w:rsidR="003F6480" w:rsidRPr="00CF75DB" w:rsidRDefault="003F6480">
      <w:pPr>
        <w:pBdr>
          <w:top w:val="single" w:sz="12" w:space="1" w:color="auto"/>
          <w:bottom w:val="single" w:sz="12" w:space="1" w:color="auto"/>
        </w:pBdr>
        <w:rPr>
          <w:sz w:val="52"/>
          <w:szCs w:val="52"/>
        </w:rPr>
      </w:pPr>
      <w:r w:rsidRPr="00CF75DB">
        <w:rPr>
          <w:sz w:val="52"/>
          <w:szCs w:val="52"/>
        </w:rPr>
        <w:t>MEDIA RELEASE</w:t>
      </w:r>
    </w:p>
    <w:p w:rsidR="001B4C7C" w:rsidRDefault="00FB0D44" w:rsidP="00BC18E6">
      <w:pPr>
        <w:rPr>
          <w:rFonts w:ascii="Calibri" w:eastAsia="Calibri" w:hAnsi="Calibri" w:cs="Times New Roman"/>
          <w:sz w:val="36"/>
          <w:szCs w:val="44"/>
        </w:rPr>
      </w:pPr>
      <w:r>
        <w:rPr>
          <w:rFonts w:ascii="Calibri" w:eastAsia="Calibri" w:hAnsi="Calibri" w:cs="Times New Roman"/>
          <w:sz w:val="36"/>
          <w:szCs w:val="44"/>
        </w:rPr>
        <w:t xml:space="preserve">CACTUS </w:t>
      </w:r>
      <w:r w:rsidR="00857746">
        <w:rPr>
          <w:rFonts w:ascii="Calibri" w:eastAsia="Calibri" w:hAnsi="Calibri" w:cs="Times New Roman"/>
          <w:sz w:val="36"/>
          <w:szCs w:val="44"/>
        </w:rPr>
        <w:t>- WANTED DEAD OR ALIVE</w:t>
      </w:r>
    </w:p>
    <w:p w:rsidR="00857746" w:rsidRPr="00A80801" w:rsidRDefault="00857746" w:rsidP="00A80801">
      <w:pPr>
        <w:jc w:val="both"/>
        <w:rPr>
          <w:rFonts w:cstheme="minorHAnsi"/>
        </w:rPr>
      </w:pPr>
      <w:r w:rsidRPr="00A80801">
        <w:rPr>
          <w:rFonts w:cstheme="minorHAnsi"/>
        </w:rPr>
        <w:t>Western Australia is host to many cactus varieties that pose a threat to agriculture and the environment.</w:t>
      </w:r>
    </w:p>
    <w:p w:rsidR="00857746" w:rsidRPr="00A80801" w:rsidRDefault="00857746" w:rsidP="00A80801">
      <w:pPr>
        <w:jc w:val="both"/>
        <w:rPr>
          <w:rFonts w:cstheme="minorHAnsi"/>
        </w:rPr>
      </w:pPr>
      <w:r w:rsidRPr="00A80801">
        <w:rPr>
          <w:rFonts w:cstheme="minorHAnsi"/>
        </w:rPr>
        <w:t>The Department of Agriculture and Food is bringing attention to this pest by marking ‘cactus month’ this November –</w:t>
      </w:r>
      <w:r w:rsidRPr="00A80801">
        <w:rPr>
          <w:rFonts w:cstheme="minorHAnsi"/>
          <w:b/>
        </w:rPr>
        <w:t xml:space="preserve"> </w:t>
      </w:r>
      <w:r w:rsidRPr="00A80801">
        <w:rPr>
          <w:rFonts w:cstheme="minorHAnsi"/>
        </w:rPr>
        <w:t xml:space="preserve">urging local landholders and communities to report infestations. </w:t>
      </w:r>
    </w:p>
    <w:p w:rsidR="00857746" w:rsidRPr="00A80801" w:rsidRDefault="00857746" w:rsidP="00A80801">
      <w:pPr>
        <w:jc w:val="both"/>
        <w:rPr>
          <w:rFonts w:cstheme="minorHAnsi"/>
        </w:rPr>
      </w:pPr>
      <w:r w:rsidRPr="00A80801">
        <w:rPr>
          <w:rFonts w:eastAsia="Times New Roman" w:cstheme="minorHAnsi"/>
          <w:lang w:val="en" w:eastAsia="en-AU"/>
        </w:rPr>
        <w:t>A range of cacti are</w:t>
      </w:r>
      <w:r w:rsidRPr="00A80801">
        <w:rPr>
          <w:rFonts w:cstheme="minorHAnsi"/>
        </w:rPr>
        <w:t xml:space="preserve"> now classified as declared plants in Western Australia under the Biosecurity and Agriculture Management Act 2007(BAMA). </w:t>
      </w:r>
    </w:p>
    <w:p w:rsidR="00857746" w:rsidRPr="00A80801" w:rsidRDefault="00857746" w:rsidP="00A80801">
      <w:pPr>
        <w:jc w:val="both"/>
        <w:rPr>
          <w:rFonts w:cstheme="minorHAnsi"/>
        </w:rPr>
      </w:pPr>
      <w:r w:rsidRPr="00A80801">
        <w:rPr>
          <w:rFonts w:cstheme="minorHAnsi"/>
        </w:rPr>
        <w:t>This means that if these plants are on your property, you are required by law to manage them according to their categorisation.</w:t>
      </w:r>
    </w:p>
    <w:p w:rsidR="00857746" w:rsidRPr="00A80801" w:rsidRDefault="00857746" w:rsidP="00A80801">
      <w:pPr>
        <w:jc w:val="both"/>
        <w:rPr>
          <w:rFonts w:cstheme="minorHAnsi"/>
        </w:rPr>
      </w:pPr>
      <w:r w:rsidRPr="00A80801">
        <w:rPr>
          <w:rFonts w:cstheme="minorHAnsi"/>
        </w:rPr>
        <w:t xml:space="preserve">Typically, problem plants that are not present in WA are declared under the prevention category, which means they are prohibited from entering the state. Declared species that are present in WA are assigned different categories such as eradication or control. </w:t>
      </w:r>
    </w:p>
    <w:p w:rsidR="00857746" w:rsidRPr="00A80801" w:rsidRDefault="00857746" w:rsidP="00A80801">
      <w:pPr>
        <w:jc w:val="both"/>
        <w:rPr>
          <w:rFonts w:cstheme="minorHAnsi"/>
        </w:rPr>
      </w:pPr>
      <w:r w:rsidRPr="00A80801">
        <w:rPr>
          <w:rFonts w:cstheme="minorHAnsi"/>
        </w:rPr>
        <w:t xml:space="preserve">Of 27 species of </w:t>
      </w:r>
      <w:proofErr w:type="spellStart"/>
      <w:r w:rsidRPr="00A80801">
        <w:rPr>
          <w:rFonts w:eastAsia="Times New Roman" w:cstheme="minorHAnsi"/>
          <w:bCs/>
          <w:lang w:val="en" w:eastAsia="en-AU"/>
        </w:rPr>
        <w:t>opuntioid</w:t>
      </w:r>
      <w:proofErr w:type="spellEnd"/>
      <w:r w:rsidRPr="00A80801">
        <w:rPr>
          <w:rFonts w:eastAsia="Times New Roman" w:cstheme="minorHAnsi"/>
          <w:bCs/>
          <w:lang w:val="en" w:eastAsia="en-AU"/>
        </w:rPr>
        <w:t xml:space="preserve"> cacti species, </w:t>
      </w:r>
      <w:r w:rsidRPr="00A80801">
        <w:rPr>
          <w:rFonts w:cstheme="minorHAnsi"/>
        </w:rPr>
        <w:t>23 are present in WA. If you have these on your property, you must take action to control or eradicate them.</w:t>
      </w:r>
    </w:p>
    <w:p w:rsidR="00857746" w:rsidRPr="00A80801" w:rsidRDefault="00857746" w:rsidP="00A80801">
      <w:pPr>
        <w:jc w:val="both"/>
        <w:rPr>
          <w:rFonts w:cstheme="minorHAnsi"/>
        </w:rPr>
      </w:pPr>
      <w:r w:rsidRPr="00A80801">
        <w:rPr>
          <w:rFonts w:cstheme="minorHAnsi"/>
        </w:rPr>
        <w:t>WA is in a fairly unique position when it comes to these cacti. We have a relatively low number of known infestations and the total area infested is also low, compared to other states. In NSW for example, Hudson pear cactus infests 60,000 ha in the Lightning Ridge area. Hudson pear has been found in WA but has not yet reached the proportions as it has elsewhere.</w:t>
      </w:r>
    </w:p>
    <w:p w:rsidR="00857746" w:rsidRPr="00A80801" w:rsidRDefault="00857746" w:rsidP="00A80801">
      <w:pPr>
        <w:jc w:val="both"/>
        <w:rPr>
          <w:rFonts w:cstheme="minorHAnsi"/>
        </w:rPr>
      </w:pPr>
      <w:r w:rsidRPr="00A80801">
        <w:rPr>
          <w:rFonts w:cstheme="minorHAnsi"/>
        </w:rPr>
        <w:t xml:space="preserve">This means WA has a good opportunity to prevent further spread and even eradicate many infestations of </w:t>
      </w:r>
      <w:proofErr w:type="spellStart"/>
      <w:r w:rsidRPr="00A80801">
        <w:rPr>
          <w:rFonts w:cstheme="minorHAnsi"/>
        </w:rPr>
        <w:t>opuntia</w:t>
      </w:r>
      <w:proofErr w:type="spellEnd"/>
      <w:r w:rsidRPr="00A80801">
        <w:rPr>
          <w:rFonts w:cstheme="minorHAnsi"/>
        </w:rPr>
        <w:t xml:space="preserve">. </w:t>
      </w:r>
    </w:p>
    <w:p w:rsidR="00857746" w:rsidRPr="00A80801" w:rsidRDefault="00857746" w:rsidP="00A80801">
      <w:pPr>
        <w:jc w:val="both"/>
        <w:rPr>
          <w:rFonts w:cstheme="minorHAnsi"/>
        </w:rPr>
      </w:pPr>
      <w:r w:rsidRPr="00A80801">
        <w:rPr>
          <w:rFonts w:cstheme="minorHAnsi"/>
        </w:rPr>
        <w:t>To achieve this we first need to know the extent of their distribution and this is where everyone can play a part.</w:t>
      </w:r>
    </w:p>
    <w:p w:rsidR="00857746" w:rsidRPr="00A80801" w:rsidRDefault="00857746" w:rsidP="00A80801">
      <w:pPr>
        <w:jc w:val="both"/>
        <w:rPr>
          <w:rFonts w:cstheme="minorHAnsi"/>
          <w:b/>
        </w:rPr>
      </w:pPr>
      <w:r w:rsidRPr="00A80801">
        <w:rPr>
          <w:rFonts w:cstheme="minorHAnsi"/>
          <w:b/>
        </w:rPr>
        <w:t xml:space="preserve">In </w:t>
      </w:r>
      <w:r w:rsidRPr="00A80801">
        <w:rPr>
          <w:rFonts w:cstheme="minorHAnsi"/>
          <w:b/>
        </w:rPr>
        <w:t xml:space="preserve">Shire of Goomalling we know of approximately 90ha </w:t>
      </w:r>
      <w:r w:rsidRPr="00A80801">
        <w:rPr>
          <w:rFonts w:cstheme="minorHAnsi"/>
          <w:b/>
        </w:rPr>
        <w:t xml:space="preserve">of </w:t>
      </w:r>
      <w:proofErr w:type="spellStart"/>
      <w:r w:rsidRPr="00A80801">
        <w:rPr>
          <w:rFonts w:cstheme="minorHAnsi"/>
          <w:b/>
        </w:rPr>
        <w:t>Opuntia</w:t>
      </w:r>
      <w:proofErr w:type="spellEnd"/>
      <w:r w:rsidRPr="00A80801">
        <w:rPr>
          <w:rFonts w:cstheme="minorHAnsi"/>
          <w:b/>
        </w:rPr>
        <w:t xml:space="preserve"> cacti including </w:t>
      </w:r>
      <w:proofErr w:type="spellStart"/>
      <w:r w:rsidRPr="00A80801">
        <w:rPr>
          <w:rFonts w:cstheme="minorHAnsi"/>
          <w:b/>
        </w:rPr>
        <w:t>Opuntia</w:t>
      </w:r>
      <w:proofErr w:type="spellEnd"/>
      <w:r w:rsidRPr="00A80801">
        <w:rPr>
          <w:rFonts w:cstheme="minorHAnsi"/>
          <w:b/>
        </w:rPr>
        <w:t xml:space="preserve"> </w:t>
      </w:r>
      <w:proofErr w:type="spellStart"/>
      <w:r w:rsidRPr="00A80801">
        <w:rPr>
          <w:rFonts w:cstheme="minorHAnsi"/>
          <w:b/>
        </w:rPr>
        <w:t>tomentosa</w:t>
      </w:r>
      <w:proofErr w:type="spellEnd"/>
      <w:r w:rsidRPr="00A80801">
        <w:rPr>
          <w:rFonts w:cstheme="minorHAnsi"/>
          <w:b/>
        </w:rPr>
        <w:t xml:space="preserve"> “Velvet Tree Pear”.</w:t>
      </w:r>
    </w:p>
    <w:p w:rsidR="00857746" w:rsidRPr="00A80801" w:rsidRDefault="00857746" w:rsidP="00A80801">
      <w:pPr>
        <w:pStyle w:val="NormalWeb"/>
        <w:spacing w:before="0" w:beforeAutospacing="0" w:after="0" w:afterAutospacing="0"/>
        <w:jc w:val="both"/>
        <w:rPr>
          <w:rFonts w:asciiTheme="minorHAnsi" w:hAnsiTheme="minorHAnsi" w:cstheme="minorHAnsi"/>
          <w:b/>
          <w:sz w:val="22"/>
          <w:szCs w:val="22"/>
        </w:rPr>
      </w:pPr>
      <w:r w:rsidRPr="00A80801">
        <w:rPr>
          <w:rFonts w:asciiTheme="minorHAnsi" w:hAnsiTheme="minorHAnsi" w:cstheme="minorHAnsi"/>
          <w:b/>
          <w:sz w:val="22"/>
          <w:szCs w:val="22"/>
        </w:rPr>
        <w:t xml:space="preserve">There are a range of </w:t>
      </w:r>
      <w:r w:rsidR="00A80801">
        <w:rPr>
          <w:rFonts w:asciiTheme="minorHAnsi" w:hAnsiTheme="minorHAnsi" w:cstheme="minorHAnsi"/>
          <w:b/>
          <w:sz w:val="22"/>
          <w:szCs w:val="22"/>
        </w:rPr>
        <w:t>trials</w:t>
      </w:r>
      <w:r w:rsidRPr="00A80801">
        <w:rPr>
          <w:rFonts w:asciiTheme="minorHAnsi" w:hAnsiTheme="minorHAnsi" w:cstheme="minorHAnsi"/>
          <w:b/>
          <w:sz w:val="22"/>
          <w:szCs w:val="22"/>
        </w:rPr>
        <w:t xml:space="preserve"> using a variety of techniques currently underway to manage these infestations. To support these control efforts it is vital that all infestations, no matter how big or small are reported and recorded.</w:t>
      </w:r>
    </w:p>
    <w:p w:rsidR="00857746" w:rsidRPr="00A80801" w:rsidRDefault="00857746" w:rsidP="00A80801">
      <w:pPr>
        <w:pStyle w:val="NormalWeb"/>
        <w:spacing w:before="0" w:beforeAutospacing="0" w:after="0" w:afterAutospacing="0"/>
        <w:jc w:val="both"/>
        <w:rPr>
          <w:rFonts w:asciiTheme="minorHAnsi" w:hAnsiTheme="minorHAnsi" w:cstheme="minorHAnsi"/>
          <w:sz w:val="22"/>
          <w:szCs w:val="22"/>
        </w:rPr>
      </w:pPr>
    </w:p>
    <w:p w:rsidR="00857746" w:rsidRPr="00A80801" w:rsidRDefault="00857746" w:rsidP="00A80801">
      <w:pPr>
        <w:jc w:val="both"/>
        <w:rPr>
          <w:rFonts w:cstheme="minorHAnsi"/>
        </w:rPr>
      </w:pPr>
      <w:r w:rsidRPr="00A80801">
        <w:rPr>
          <w:rFonts w:cstheme="minorHAnsi"/>
        </w:rPr>
        <w:t xml:space="preserve">If you are unsure whether or not you have a declared plant or animal on your property that you are required to manage, visit the Department of Agriculture and Food (DAFWA) </w:t>
      </w:r>
      <w:hyperlink r:id="rId10" w:history="1">
        <w:r w:rsidRPr="00A80801">
          <w:rPr>
            <w:rStyle w:val="Hyperlink"/>
            <w:rFonts w:cstheme="minorHAnsi"/>
          </w:rPr>
          <w:t>website</w:t>
        </w:r>
      </w:hyperlink>
      <w:r w:rsidRPr="00A80801">
        <w:rPr>
          <w:rFonts w:cstheme="minorHAnsi"/>
        </w:rPr>
        <w:t>. You will find information on all declared pests in WA including images for identification and the most effective control techniques.</w:t>
      </w:r>
    </w:p>
    <w:p w:rsidR="009258ED" w:rsidRDefault="009258ED" w:rsidP="00A80801">
      <w:pPr>
        <w:jc w:val="both"/>
        <w:rPr>
          <w:rFonts w:cstheme="minorHAnsi"/>
        </w:rPr>
      </w:pPr>
    </w:p>
    <w:p w:rsidR="00857746" w:rsidRPr="00A80801" w:rsidRDefault="00857746" w:rsidP="00A80801">
      <w:pPr>
        <w:jc w:val="both"/>
        <w:rPr>
          <w:rFonts w:cstheme="minorHAnsi"/>
        </w:rPr>
      </w:pPr>
      <w:r w:rsidRPr="00A80801">
        <w:rPr>
          <w:rFonts w:cstheme="minorHAnsi"/>
        </w:rPr>
        <w:lastRenderedPageBreak/>
        <w:t xml:space="preserve">If a new species of invasive cacti can be detected while the population is small, eradication is often feasible. There are numerous examples of successful eradication. </w:t>
      </w:r>
    </w:p>
    <w:p w:rsidR="00857746" w:rsidRPr="00A80801" w:rsidRDefault="00857746" w:rsidP="00A80801">
      <w:pPr>
        <w:jc w:val="both"/>
        <w:rPr>
          <w:rFonts w:cstheme="minorHAnsi"/>
        </w:rPr>
      </w:pPr>
      <w:r w:rsidRPr="00A80801">
        <w:rPr>
          <w:rFonts w:cstheme="minorHAnsi"/>
        </w:rPr>
        <w:t>Unfortunately, many infestations go un-noticed and are not reported. Don’t let this happen in your neighbourhood; get it before it gets hold on your property.</w:t>
      </w:r>
    </w:p>
    <w:p w:rsidR="00857746" w:rsidRPr="00A80801" w:rsidRDefault="00857746" w:rsidP="00A80801">
      <w:pPr>
        <w:jc w:val="both"/>
        <w:rPr>
          <w:rFonts w:cstheme="minorHAnsi"/>
        </w:rPr>
      </w:pPr>
      <w:r w:rsidRPr="00A80801">
        <w:rPr>
          <w:rFonts w:cstheme="minorHAnsi"/>
        </w:rPr>
        <w:t xml:space="preserve">Report large weedy infestations of </w:t>
      </w:r>
      <w:proofErr w:type="spellStart"/>
      <w:r w:rsidRPr="00A80801">
        <w:rPr>
          <w:rFonts w:cstheme="minorHAnsi"/>
        </w:rPr>
        <w:t>Opuntioid</w:t>
      </w:r>
      <w:proofErr w:type="spellEnd"/>
      <w:r w:rsidRPr="00A80801">
        <w:rPr>
          <w:rFonts w:cstheme="minorHAnsi"/>
        </w:rPr>
        <w:t xml:space="preserve"> cactus to:</w:t>
      </w:r>
    </w:p>
    <w:p w:rsidR="00857746" w:rsidRPr="00A80801" w:rsidRDefault="00857746" w:rsidP="00A80801">
      <w:pPr>
        <w:pStyle w:val="ListParagraph"/>
        <w:numPr>
          <w:ilvl w:val="0"/>
          <w:numId w:val="3"/>
        </w:numPr>
        <w:jc w:val="both"/>
        <w:rPr>
          <w:rFonts w:cstheme="minorHAnsi"/>
        </w:rPr>
      </w:pPr>
      <w:r w:rsidRPr="00A80801">
        <w:rPr>
          <w:rFonts w:cstheme="minorHAnsi"/>
        </w:rPr>
        <w:t>Pest and Disease Information Service (</w:t>
      </w:r>
      <w:proofErr w:type="spellStart"/>
      <w:r w:rsidRPr="00A80801">
        <w:rPr>
          <w:rFonts w:cstheme="minorHAnsi"/>
        </w:rPr>
        <w:t>PaDIS</w:t>
      </w:r>
      <w:proofErr w:type="spellEnd"/>
      <w:r w:rsidRPr="00A80801">
        <w:rPr>
          <w:rFonts w:cstheme="minorHAnsi"/>
        </w:rPr>
        <w:t>)</w:t>
      </w:r>
      <w:r w:rsidRPr="00A80801">
        <w:rPr>
          <w:rFonts w:cstheme="minorHAnsi"/>
          <w:b/>
        </w:rPr>
        <w:t xml:space="preserve"> 1800 084 881</w:t>
      </w:r>
    </w:p>
    <w:p w:rsidR="00857746" w:rsidRPr="00A80801" w:rsidRDefault="00857746" w:rsidP="00A80801">
      <w:pPr>
        <w:pStyle w:val="ListParagraph"/>
        <w:numPr>
          <w:ilvl w:val="0"/>
          <w:numId w:val="3"/>
        </w:numPr>
        <w:jc w:val="both"/>
        <w:rPr>
          <w:rFonts w:cstheme="minorHAnsi"/>
        </w:rPr>
      </w:pPr>
      <w:proofErr w:type="spellStart"/>
      <w:r w:rsidRPr="00A80801">
        <w:rPr>
          <w:rFonts w:cstheme="minorHAnsi"/>
          <w:b/>
        </w:rPr>
        <w:t>MyWeedWatche</w:t>
      </w:r>
      <w:r w:rsidRPr="00A80801">
        <w:rPr>
          <w:rFonts w:cstheme="minorHAnsi"/>
        </w:rPr>
        <w:t>r</w:t>
      </w:r>
      <w:proofErr w:type="spellEnd"/>
      <w:r w:rsidRPr="00A80801">
        <w:rPr>
          <w:rFonts w:cstheme="minorHAnsi"/>
        </w:rPr>
        <w:t xml:space="preserve"> smartphone and tablet application agric.wa.gov.au/weed-surveillance</w:t>
      </w:r>
    </w:p>
    <w:p w:rsidR="00857746" w:rsidRPr="00A80801" w:rsidRDefault="00A80801" w:rsidP="00A80801">
      <w:pPr>
        <w:pStyle w:val="ListParagraph"/>
        <w:numPr>
          <w:ilvl w:val="0"/>
          <w:numId w:val="3"/>
        </w:numPr>
        <w:jc w:val="both"/>
        <w:rPr>
          <w:rStyle w:val="Hyperlink"/>
          <w:rFonts w:cstheme="minorHAnsi"/>
          <w:color w:val="auto"/>
          <w:u w:val="none"/>
        </w:rPr>
      </w:pPr>
      <w:r>
        <w:rPr>
          <w:rFonts w:cstheme="minorHAnsi"/>
          <w:noProof/>
          <w:lang w:eastAsia="en-AU"/>
        </w:rPr>
        <w:drawing>
          <wp:anchor distT="0" distB="0" distL="114300" distR="114300" simplePos="0" relativeHeight="251663360" behindDoc="1" locked="0" layoutInCell="1" allowOverlap="1" wp14:anchorId="61B38D3D" wp14:editId="403E38F3">
            <wp:simplePos x="0" y="0"/>
            <wp:positionH relativeFrom="column">
              <wp:posOffset>2678430</wp:posOffset>
            </wp:positionH>
            <wp:positionV relativeFrom="paragraph">
              <wp:posOffset>333375</wp:posOffset>
            </wp:positionV>
            <wp:extent cx="3699510" cy="2774950"/>
            <wp:effectExtent l="0" t="0" r="0" b="6350"/>
            <wp:wrapTight wrapText="bothSides">
              <wp:wrapPolygon edited="0">
                <wp:start x="0" y="0"/>
                <wp:lineTo x="0" y="21501"/>
                <wp:lineTo x="21467" y="21501"/>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38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9510" cy="2774950"/>
                    </a:xfrm>
                    <a:prstGeom prst="rect">
                      <a:avLst/>
                    </a:prstGeom>
                  </pic:spPr>
                </pic:pic>
              </a:graphicData>
            </a:graphic>
            <wp14:sizeRelH relativeFrom="page">
              <wp14:pctWidth>0</wp14:pctWidth>
            </wp14:sizeRelH>
            <wp14:sizeRelV relativeFrom="page">
              <wp14:pctHeight>0</wp14:pctHeight>
            </wp14:sizeRelV>
          </wp:anchor>
        </w:drawing>
      </w:r>
      <w:r w:rsidR="00857746" w:rsidRPr="00A80801">
        <w:rPr>
          <w:rFonts w:cstheme="minorHAnsi"/>
        </w:rPr>
        <w:t xml:space="preserve">Online reporting tool </w:t>
      </w:r>
      <w:hyperlink r:id="rId12" w:history="1">
        <w:r w:rsidR="00857746" w:rsidRPr="00A80801">
          <w:rPr>
            <w:rStyle w:val="Hyperlink"/>
            <w:rFonts w:cstheme="minorHAnsi"/>
            <w:b/>
          </w:rPr>
          <w:t>agric.wa.gov.au/</w:t>
        </w:r>
        <w:proofErr w:type="spellStart"/>
        <w:r w:rsidR="00857746" w:rsidRPr="00A80801">
          <w:rPr>
            <w:rStyle w:val="Hyperlink"/>
            <w:rFonts w:cstheme="minorHAnsi"/>
            <w:b/>
          </w:rPr>
          <w:t>myweedwatcher</w:t>
        </w:r>
        <w:proofErr w:type="spellEnd"/>
      </w:hyperlink>
    </w:p>
    <w:p w:rsidR="00A80801" w:rsidRPr="00A80801" w:rsidRDefault="009258ED" w:rsidP="00A80801">
      <w:pPr>
        <w:jc w:val="both"/>
        <w:rPr>
          <w:rFonts w:cstheme="minorHAnsi"/>
        </w:rPr>
      </w:pPr>
      <w:r w:rsidRPr="00A80801">
        <w:rPr>
          <w:b/>
          <w:noProof/>
          <w:sz w:val="20"/>
          <w:lang w:eastAsia="en-AU"/>
        </w:rPr>
        <mc:AlternateContent>
          <mc:Choice Requires="wps">
            <w:drawing>
              <wp:anchor distT="0" distB="0" distL="114300" distR="114300" simplePos="0" relativeHeight="251665408" behindDoc="0" locked="0" layoutInCell="1" allowOverlap="1" wp14:anchorId="45FD18F5" wp14:editId="19B358A8">
                <wp:simplePos x="0" y="0"/>
                <wp:positionH relativeFrom="column">
                  <wp:posOffset>-4209</wp:posOffset>
                </wp:positionH>
                <wp:positionV relativeFrom="paragraph">
                  <wp:posOffset>55260</wp:posOffset>
                </wp:positionV>
                <wp:extent cx="4316213" cy="3306725"/>
                <wp:effectExtent l="0" t="0" r="8255"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213" cy="3306725"/>
                        </a:xfrm>
                        <a:prstGeom prst="rect">
                          <a:avLst/>
                        </a:prstGeom>
                        <a:solidFill>
                          <a:srgbClr val="FFFFFF"/>
                        </a:solidFill>
                        <a:ln w="9525">
                          <a:noFill/>
                          <a:miter lim="800000"/>
                          <a:headEnd/>
                          <a:tailEnd/>
                        </a:ln>
                      </wps:spPr>
                      <wps:txbx>
                        <w:txbxContent>
                          <w:p w:rsidR="009258ED" w:rsidRDefault="009258ED" w:rsidP="009258ED">
                            <w:pPr>
                              <w:jc w:val="both"/>
                            </w:pPr>
                            <w:r>
                              <w:t>Shire of Goomalling received $20,000 through the Department of Agriculture and Food WA to identify vector of spread, carry out trials for effective eradication and build community capacity.</w:t>
                            </w:r>
                          </w:p>
                          <w:p w:rsidR="009258ED" w:rsidRDefault="009258ED" w:rsidP="009258ED">
                            <w:pPr>
                              <w:jc w:val="both"/>
                            </w:pPr>
                            <w:r>
                              <w:t>Sacred Heart Catholic School has been pivotal in identifying a number of infestations throughout the shire and will continue to partner throughout the project.</w:t>
                            </w:r>
                          </w:p>
                          <w:p w:rsidR="00A80801" w:rsidRDefault="009258ED" w:rsidP="009258ED">
                            <w:pPr>
                              <w:jc w:val="both"/>
                            </w:pPr>
                            <w:r w:rsidRPr="009258ED">
                              <w:rPr>
                                <w:b/>
                              </w:rPr>
                              <w:t>Picture 1 (Top left):</w:t>
                            </w:r>
                            <w:r>
                              <w:t xml:space="preserve"> Cr Christie Kingston, Kay Bailey Department of Agriculture &amp; Food WA, Jodi Iles, Project Officer – DAFWA hand over the signed funding agreement.</w:t>
                            </w:r>
                          </w:p>
                          <w:p w:rsidR="009258ED" w:rsidRDefault="009258ED" w:rsidP="009258ED">
                            <w:pPr>
                              <w:jc w:val="both"/>
                            </w:pPr>
                            <w:r w:rsidRPr="009258ED">
                              <w:rPr>
                                <w:b/>
                              </w:rPr>
                              <w:t>Picture 2 (top right):</w:t>
                            </w:r>
                            <w:r>
                              <w:t xml:space="preserve"> Project Partners – Cr Kingston, Jodi Iles, Kay Bailey, Steve Miranda - Sacred Heart Catholic School, Julie Murphy – Greening Australia and Tahnee Bird – Project Manager.</w:t>
                            </w:r>
                          </w:p>
                          <w:p w:rsidR="009258ED" w:rsidRDefault="009258ED" w:rsidP="009258ED">
                            <w:pPr>
                              <w:jc w:val="both"/>
                            </w:pPr>
                            <w:r w:rsidRPr="009258ED">
                              <w:rPr>
                                <w:b/>
                              </w:rPr>
                              <w:t>Picture 3 (left):</w:t>
                            </w:r>
                            <w:r>
                              <w:t xml:space="preserve"> Inspecting the infestation, new germinated and fruiting.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4.35pt;width:339.85pt;height:2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0vIwIAACMEAAAOAAAAZHJzL2Uyb0RvYy54bWysU9tu2zAMfR+wfxD0vthxLm2NOEWXLsOA&#10;7gK0+wBZlmNhkqhJSuzs60vJaZptb8P0IJAieUgeUqvbQStyEM5LMBWdTnJKhOHQSLOr6Pen7btr&#10;SnxgpmEKjKjoUXh6u377ZtXbUhTQgWqEIwhifNnbinYh2DLLPO+EZn4CVhg0tuA0C6i6XdY41iO6&#10;VlmR58usB9dYB1x4j6/3o5GuE37bCh6+tq0XgaiKYm0h3S7ddbyz9YqVO8dsJ/mpDPYPVWgmDSY9&#10;Q92zwMjeyb+gtOQOPLRhwkFn0LaSi9QDdjPN/+jmsWNWpF6QHG/PNPn/B8u/HL45IpuKLigxTOOI&#10;nsQQyHsYSBHZ6a0v0enRolsY8BmnnDr19gH4D08MbDpmduLOOeg7wRqsbhojs4vQEcdHkLr/DA2m&#10;YfsACWhonY7UIRkE0XFKx/NkYikcH+ez6bKYzijhaJvN8uVVsUg5WPkSbp0PHwVoEoWKOhx9gmeH&#10;Bx9iOax8cYnZPCjZbKVSSXG7eqMcOTBck206J/Tf3JQhfUVvFpg7RhmI8WmDtAy4xkrqil7n8cRw&#10;VkY6PpgmyYFJNcpYiTInfiIlIzlhqIc0iERe5K6G5oiEORi3Fn8ZCh24X5T0uLEV9T/3zAlK1CeD&#10;pN9M5/O44kmZL64KVNylpb60MMMRqqKBklHchPQtxsbucDitTLS9VnIqGTcxsXn6NXHVL/Xk9fq3&#10;188AAAD//wMAUEsDBBQABgAIAAAAIQDc99H43QAAAAcBAAAPAAAAZHJzL2Rvd25yZXYueG1sTI/d&#10;ToNAEIXvTXyHzZh4Y9rFpoWCDI2aaLztzwMMsAUiO0vYbaFv73ilVyeTc3LON/lutr26mtF3jhGe&#10;lxEow5WrO24QTsePxRaUD8Q19Y4Nws142BX3dzlltZt4b66H0CgpYZ8RQhvCkGntq9ZY8ks3GBbv&#10;7EZLQc6x0fVIk5TbXq+iKNaWOpaFlgbz3prq+3CxCOev6WmTTuVnOCX7dfxGXVK6G+Ljw/z6AiqY&#10;OfyF4Rdf0KEQptJduPaqR1gkEkTYiogbJ6l8ViJsVukadJHr//zFDwAAAP//AwBQSwECLQAUAAYA&#10;CAAAACEAtoM4kv4AAADhAQAAEwAAAAAAAAAAAAAAAAAAAAAAW0NvbnRlbnRfVHlwZXNdLnhtbFBL&#10;AQItABQABgAIAAAAIQA4/SH/1gAAAJQBAAALAAAAAAAAAAAAAAAAAC8BAABfcmVscy8ucmVsc1BL&#10;AQItABQABgAIAAAAIQBFsv0vIwIAACMEAAAOAAAAAAAAAAAAAAAAAC4CAABkcnMvZTJvRG9jLnht&#10;bFBLAQItABQABgAIAAAAIQDc99H43QAAAAcBAAAPAAAAAAAAAAAAAAAAAH0EAABkcnMvZG93bnJl&#10;di54bWxQSwUGAAAAAAQABADzAAAAhwUAAAAA&#10;" stroked="f">
                <v:textbox>
                  <w:txbxContent>
                    <w:p w:rsidR="009258ED" w:rsidRDefault="009258ED" w:rsidP="009258ED">
                      <w:pPr>
                        <w:jc w:val="both"/>
                      </w:pPr>
                      <w:r>
                        <w:t>Shire of Goomalling received $20,000 through the Department of Agriculture and Food WA to identify vector of spread, carry out trials for effective eradication and build community capacity.</w:t>
                      </w:r>
                    </w:p>
                    <w:p w:rsidR="009258ED" w:rsidRDefault="009258ED" w:rsidP="009258ED">
                      <w:pPr>
                        <w:jc w:val="both"/>
                      </w:pPr>
                      <w:r>
                        <w:t>Sacred Heart Catholic School has been pivotal in identifying a number of infestations throughout the shire and will continue to partner throughout the project.</w:t>
                      </w:r>
                    </w:p>
                    <w:p w:rsidR="00A80801" w:rsidRDefault="009258ED" w:rsidP="009258ED">
                      <w:pPr>
                        <w:jc w:val="both"/>
                      </w:pPr>
                      <w:r w:rsidRPr="009258ED">
                        <w:rPr>
                          <w:b/>
                        </w:rPr>
                        <w:t>Picture 1 (Top left):</w:t>
                      </w:r>
                      <w:r>
                        <w:t xml:space="preserve"> Cr Christie Kingston, Kay Bailey Department of Agriculture &amp; Food WA, Jodi Iles, Project Officer – DAFWA hand over the signed funding agreement.</w:t>
                      </w:r>
                    </w:p>
                    <w:p w:rsidR="009258ED" w:rsidRDefault="009258ED" w:rsidP="009258ED">
                      <w:pPr>
                        <w:jc w:val="both"/>
                      </w:pPr>
                      <w:r w:rsidRPr="009258ED">
                        <w:rPr>
                          <w:b/>
                        </w:rPr>
                        <w:t>Picture 2 (top right):</w:t>
                      </w:r>
                      <w:r>
                        <w:t xml:space="preserve"> Project Partners – Cr Kingston, Jodi Iles, Kay Bailey, Steve Miranda - Sacred Heart Catholic School, Julie Murphy – Greening Australia and Tahnee Bird – Project Manager.</w:t>
                      </w:r>
                    </w:p>
                    <w:p w:rsidR="009258ED" w:rsidRDefault="009258ED" w:rsidP="009258ED">
                      <w:pPr>
                        <w:jc w:val="both"/>
                      </w:pPr>
                      <w:r w:rsidRPr="009258ED">
                        <w:rPr>
                          <w:b/>
                        </w:rPr>
                        <w:t>Picture 3 (left):</w:t>
                      </w:r>
                      <w:r>
                        <w:t xml:space="preserve"> Inspecting the infestation, new germinated and fruiting.</w:t>
                      </w:r>
                    </w:p>
                  </w:txbxContent>
                </v:textbox>
              </v:shape>
            </w:pict>
          </mc:Fallback>
        </mc:AlternateContent>
      </w:r>
      <w:r w:rsidR="00A80801">
        <w:rPr>
          <w:rFonts w:cstheme="minorHAnsi"/>
          <w:noProof/>
          <w:lang w:eastAsia="en-AU"/>
        </w:rPr>
        <w:drawing>
          <wp:anchor distT="0" distB="0" distL="114300" distR="114300" simplePos="0" relativeHeight="251661312" behindDoc="1" locked="0" layoutInCell="1" allowOverlap="1" wp14:anchorId="4FC3D0F7" wp14:editId="26347870">
            <wp:simplePos x="0" y="0"/>
            <wp:positionH relativeFrom="column">
              <wp:posOffset>-447040</wp:posOffset>
            </wp:positionH>
            <wp:positionV relativeFrom="paragraph">
              <wp:posOffset>2832100</wp:posOffset>
            </wp:positionV>
            <wp:extent cx="2413000" cy="3217545"/>
            <wp:effectExtent l="0" t="0" r="6350" b="1905"/>
            <wp:wrapTight wrapText="bothSides">
              <wp:wrapPolygon edited="0">
                <wp:start x="0" y="0"/>
                <wp:lineTo x="0" y="21485"/>
                <wp:lineTo x="21486" y="21485"/>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8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000" cy="3217545"/>
                    </a:xfrm>
                    <a:prstGeom prst="rect">
                      <a:avLst/>
                    </a:prstGeom>
                  </pic:spPr>
                </pic:pic>
              </a:graphicData>
            </a:graphic>
            <wp14:sizeRelH relativeFrom="page">
              <wp14:pctWidth>0</wp14:pctWidth>
            </wp14:sizeRelH>
            <wp14:sizeRelV relativeFrom="page">
              <wp14:pctHeight>0</wp14:pctHeight>
            </wp14:sizeRelV>
          </wp:anchor>
        </w:drawing>
      </w:r>
      <w:r w:rsidR="00A80801">
        <w:rPr>
          <w:rFonts w:cstheme="minorHAnsi"/>
          <w:noProof/>
          <w:lang w:eastAsia="en-AU"/>
        </w:rPr>
        <w:drawing>
          <wp:anchor distT="0" distB="0" distL="114300" distR="114300" simplePos="0" relativeHeight="251662336" behindDoc="1" locked="0" layoutInCell="1" allowOverlap="1" wp14:anchorId="20E06CC1" wp14:editId="5CB8F55D">
            <wp:simplePos x="0" y="0"/>
            <wp:positionH relativeFrom="column">
              <wp:posOffset>-443230</wp:posOffset>
            </wp:positionH>
            <wp:positionV relativeFrom="paragraph">
              <wp:posOffset>14605</wp:posOffset>
            </wp:positionV>
            <wp:extent cx="3057525" cy="2764155"/>
            <wp:effectExtent l="0" t="0" r="9525" b="0"/>
            <wp:wrapTight wrapText="bothSides">
              <wp:wrapPolygon edited="0">
                <wp:start x="0" y="0"/>
                <wp:lineTo x="0" y="21436"/>
                <wp:lineTo x="21533" y="2143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y Christie and Jodie MOU .JPG"/>
                    <pic:cNvPicPr/>
                  </pic:nvPicPr>
                  <pic:blipFill rotWithShape="1">
                    <a:blip r:embed="rId14" cstate="print">
                      <a:extLst>
                        <a:ext uri="{28A0092B-C50C-407E-A947-70E740481C1C}">
                          <a14:useLocalDpi xmlns:a14="http://schemas.microsoft.com/office/drawing/2010/main" val="0"/>
                        </a:ext>
                      </a:extLst>
                    </a:blip>
                    <a:srcRect l="9967" t="11074" r="16279"/>
                    <a:stretch/>
                  </pic:blipFill>
                  <pic:spPr bwMode="auto">
                    <a:xfrm>
                      <a:off x="0" y="0"/>
                      <a:ext cx="3057525" cy="2764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Default="00A80801" w:rsidP="00420FBE">
      <w:pPr>
        <w:spacing w:after="0" w:line="240" w:lineRule="auto"/>
        <w:jc w:val="both"/>
        <w:rPr>
          <w:b/>
          <w:sz w:val="20"/>
        </w:rPr>
      </w:pPr>
    </w:p>
    <w:p w:rsidR="00A80801" w:rsidRPr="00E52B00" w:rsidRDefault="00F912E4" w:rsidP="00E52B00">
      <w:pPr>
        <w:spacing w:after="0" w:line="240" w:lineRule="auto"/>
        <w:ind w:left="-709"/>
        <w:jc w:val="both"/>
        <w:rPr>
          <w:b/>
        </w:rPr>
      </w:pPr>
      <w:r w:rsidRPr="00E52B00">
        <w:rPr>
          <w:b/>
        </w:rPr>
        <w:t xml:space="preserve">PLEASE DO NOT DISPOSE OF CACTUS AT THE LOCAL TIP – THE CACTUS WILL REGERMINATE AND SPREAD. THE SHIRE HAS A SPECIFIC </w:t>
      </w:r>
      <w:r w:rsidR="00E52B00" w:rsidRPr="00E52B00">
        <w:rPr>
          <w:b/>
        </w:rPr>
        <w:t>PIT</w:t>
      </w:r>
      <w:r w:rsidRPr="00E52B00">
        <w:rPr>
          <w:b/>
        </w:rPr>
        <w:t xml:space="preserve"> FOR DISPOSAL, PLEASE CALL 08 9629 1101 TO ARRANGE </w:t>
      </w:r>
      <w:r w:rsidR="00E52B00" w:rsidRPr="00E52B00">
        <w:rPr>
          <w:b/>
        </w:rPr>
        <w:t>DUMPING</w:t>
      </w:r>
      <w:r w:rsidRPr="00E52B00">
        <w:rPr>
          <w:b/>
        </w:rPr>
        <w:t>.</w:t>
      </w:r>
      <w:bookmarkStart w:id="0" w:name="_GoBack"/>
      <w:bookmarkEnd w:id="0"/>
    </w:p>
    <w:p w:rsidR="00F912E4" w:rsidRDefault="00F912E4" w:rsidP="00420FBE">
      <w:pPr>
        <w:spacing w:after="0" w:line="240" w:lineRule="auto"/>
        <w:jc w:val="both"/>
        <w:rPr>
          <w:b/>
          <w:sz w:val="20"/>
        </w:rPr>
      </w:pPr>
    </w:p>
    <w:p w:rsidR="00420FBE" w:rsidRPr="00CF75DB" w:rsidRDefault="00420FBE" w:rsidP="00420FBE">
      <w:pPr>
        <w:spacing w:after="0" w:line="240" w:lineRule="auto"/>
        <w:jc w:val="both"/>
        <w:rPr>
          <w:sz w:val="20"/>
        </w:rPr>
      </w:pPr>
      <w:r w:rsidRPr="00CF75DB">
        <w:rPr>
          <w:b/>
          <w:sz w:val="20"/>
        </w:rPr>
        <w:t>Media Contact</w:t>
      </w:r>
      <w:r w:rsidRPr="00CF75DB">
        <w:rPr>
          <w:sz w:val="20"/>
        </w:rPr>
        <w:tab/>
      </w:r>
      <w:r w:rsidRPr="00CF75DB">
        <w:rPr>
          <w:sz w:val="20"/>
        </w:rPr>
        <w:tab/>
      </w:r>
      <w:r w:rsidR="002755DC">
        <w:rPr>
          <w:sz w:val="20"/>
        </w:rPr>
        <w:t>Tahnee Bird, Community Development Officer</w:t>
      </w:r>
    </w:p>
    <w:p w:rsidR="00420FBE" w:rsidRPr="00CF75DB" w:rsidRDefault="00420FBE" w:rsidP="00420FBE">
      <w:pPr>
        <w:spacing w:after="0" w:line="240" w:lineRule="auto"/>
        <w:jc w:val="both"/>
        <w:rPr>
          <w:sz w:val="20"/>
        </w:rPr>
      </w:pPr>
      <w:r w:rsidRPr="00CF75DB">
        <w:rPr>
          <w:b/>
          <w:sz w:val="20"/>
        </w:rPr>
        <w:t>Authorising Officer</w:t>
      </w:r>
      <w:r w:rsidRPr="00CF75DB">
        <w:rPr>
          <w:sz w:val="20"/>
        </w:rPr>
        <w:tab/>
        <w:t>Clem Kerp, Chief Executive Officer</w:t>
      </w:r>
    </w:p>
    <w:p w:rsidR="005E0827" w:rsidRPr="00CF75DB" w:rsidRDefault="00420FBE" w:rsidP="00420FBE">
      <w:pPr>
        <w:spacing w:after="0" w:line="240" w:lineRule="auto"/>
        <w:jc w:val="both"/>
        <w:rPr>
          <w:sz w:val="20"/>
        </w:rPr>
      </w:pPr>
      <w:r w:rsidRPr="00CF75DB">
        <w:rPr>
          <w:b/>
          <w:sz w:val="20"/>
        </w:rPr>
        <w:t>Date</w:t>
      </w:r>
      <w:r w:rsidRPr="00CF75DB">
        <w:rPr>
          <w:b/>
          <w:sz w:val="20"/>
        </w:rPr>
        <w:tab/>
      </w:r>
      <w:r w:rsidR="005F734A" w:rsidRPr="00CF75DB">
        <w:rPr>
          <w:sz w:val="20"/>
        </w:rPr>
        <w:tab/>
      </w:r>
      <w:r w:rsidR="005F734A" w:rsidRPr="00CF75DB">
        <w:rPr>
          <w:sz w:val="20"/>
        </w:rPr>
        <w:tab/>
      </w:r>
      <w:r w:rsidR="000E33D1">
        <w:rPr>
          <w:sz w:val="20"/>
        </w:rPr>
        <w:t>22 November 2016</w:t>
      </w:r>
    </w:p>
    <w:sectPr w:rsidR="005E0827" w:rsidRPr="00CF75DB" w:rsidSect="00CF75DB">
      <w:type w:val="continuous"/>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FF" w:rsidRDefault="00881CFF" w:rsidP="00881CFF">
      <w:pPr>
        <w:spacing w:after="0" w:line="240" w:lineRule="auto"/>
      </w:pPr>
      <w:r>
        <w:separator/>
      </w:r>
    </w:p>
  </w:endnote>
  <w:endnote w:type="continuationSeparator" w:id="0">
    <w:p w:rsidR="00881CFF" w:rsidRDefault="00881CFF" w:rsidP="0088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FF" w:rsidRDefault="00881CFF" w:rsidP="00881CFF">
      <w:pPr>
        <w:spacing w:after="0" w:line="240" w:lineRule="auto"/>
      </w:pPr>
      <w:r>
        <w:separator/>
      </w:r>
    </w:p>
  </w:footnote>
  <w:footnote w:type="continuationSeparator" w:id="0">
    <w:p w:rsidR="00881CFF" w:rsidRDefault="00881CFF" w:rsidP="00881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06EE"/>
    <w:multiLevelType w:val="hybridMultilevel"/>
    <w:tmpl w:val="F38E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80254FB"/>
    <w:multiLevelType w:val="hybridMultilevel"/>
    <w:tmpl w:val="F3BE8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8113416"/>
    <w:multiLevelType w:val="hybridMultilevel"/>
    <w:tmpl w:val="C79670E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80"/>
    <w:rsid w:val="00085A22"/>
    <w:rsid w:val="00086966"/>
    <w:rsid w:val="0009017F"/>
    <w:rsid w:val="000E302C"/>
    <w:rsid w:val="000E33D1"/>
    <w:rsid w:val="00186490"/>
    <w:rsid w:val="00196328"/>
    <w:rsid w:val="001B4C7C"/>
    <w:rsid w:val="001D02AF"/>
    <w:rsid w:val="00221299"/>
    <w:rsid w:val="00227497"/>
    <w:rsid w:val="002467C8"/>
    <w:rsid w:val="002755DC"/>
    <w:rsid w:val="00296B27"/>
    <w:rsid w:val="00313859"/>
    <w:rsid w:val="00327DAD"/>
    <w:rsid w:val="0034386B"/>
    <w:rsid w:val="003A0C04"/>
    <w:rsid w:val="003B1909"/>
    <w:rsid w:val="003E29A3"/>
    <w:rsid w:val="003F6480"/>
    <w:rsid w:val="00420FBE"/>
    <w:rsid w:val="004B7CA5"/>
    <w:rsid w:val="00513654"/>
    <w:rsid w:val="005E0827"/>
    <w:rsid w:val="005E17D7"/>
    <w:rsid w:val="005F734A"/>
    <w:rsid w:val="00641F2E"/>
    <w:rsid w:val="006D520B"/>
    <w:rsid w:val="0070530D"/>
    <w:rsid w:val="00857746"/>
    <w:rsid w:val="00881CFF"/>
    <w:rsid w:val="008E43A2"/>
    <w:rsid w:val="009258ED"/>
    <w:rsid w:val="00944AB1"/>
    <w:rsid w:val="00997300"/>
    <w:rsid w:val="009D5C72"/>
    <w:rsid w:val="009F2139"/>
    <w:rsid w:val="00A0488E"/>
    <w:rsid w:val="00A21B39"/>
    <w:rsid w:val="00A34AFE"/>
    <w:rsid w:val="00A80801"/>
    <w:rsid w:val="00AA576C"/>
    <w:rsid w:val="00AF07D0"/>
    <w:rsid w:val="00BC18E6"/>
    <w:rsid w:val="00C10716"/>
    <w:rsid w:val="00CC7B06"/>
    <w:rsid w:val="00CF75DB"/>
    <w:rsid w:val="00D12A5A"/>
    <w:rsid w:val="00D424CD"/>
    <w:rsid w:val="00DD2097"/>
    <w:rsid w:val="00DD74FE"/>
    <w:rsid w:val="00E06545"/>
    <w:rsid w:val="00E23C4B"/>
    <w:rsid w:val="00E52B00"/>
    <w:rsid w:val="00E6292C"/>
    <w:rsid w:val="00F22D17"/>
    <w:rsid w:val="00F912E4"/>
    <w:rsid w:val="00FA5926"/>
    <w:rsid w:val="00FB0D44"/>
    <w:rsid w:val="00FF5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NormalWeb">
    <w:name w:val="Normal (Web)"/>
    <w:basedOn w:val="Normal"/>
    <w:uiPriority w:val="99"/>
    <w:unhideWhenUsed/>
    <w:rsid w:val="0085774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E0827"/>
    <w:pPr>
      <w:keepNext/>
      <w:keepLines/>
      <w:spacing w:before="200" w:after="0"/>
      <w:outlineLvl w:val="1"/>
    </w:pPr>
    <w:rPr>
      <w:rFonts w:eastAsiaTheme="majorEastAsia" w:cstheme="majorBidi"/>
      <w:b/>
      <w:bCs/>
      <w:color w:val="4F81BD" w:themeColor="accent1"/>
      <w:sz w:val="32"/>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80"/>
    <w:rPr>
      <w:rFonts w:ascii="Tahoma" w:hAnsi="Tahoma" w:cs="Tahoma"/>
      <w:sz w:val="16"/>
      <w:szCs w:val="16"/>
    </w:rPr>
  </w:style>
  <w:style w:type="character" w:styleId="Hyperlink">
    <w:name w:val="Hyperlink"/>
    <w:basedOn w:val="DefaultParagraphFont"/>
    <w:uiPriority w:val="99"/>
    <w:unhideWhenUsed/>
    <w:rsid w:val="00327DAD"/>
    <w:rPr>
      <w:color w:val="0000FF" w:themeColor="hyperlink"/>
      <w:u w:val="single"/>
    </w:rPr>
  </w:style>
  <w:style w:type="paragraph" w:styleId="ListParagraph">
    <w:name w:val="List Paragraph"/>
    <w:basedOn w:val="Normal"/>
    <w:uiPriority w:val="34"/>
    <w:qFormat/>
    <w:rsid w:val="00420FBE"/>
    <w:pPr>
      <w:ind w:left="720"/>
      <w:contextualSpacing/>
    </w:pPr>
  </w:style>
  <w:style w:type="character" w:customStyle="1" w:styleId="Heading2Char">
    <w:name w:val="Heading 2 Char"/>
    <w:basedOn w:val="DefaultParagraphFont"/>
    <w:link w:val="Heading2"/>
    <w:uiPriority w:val="9"/>
    <w:rsid w:val="005E0827"/>
    <w:rPr>
      <w:rFonts w:eastAsiaTheme="majorEastAsia" w:cstheme="majorBidi"/>
      <w:b/>
      <w:bCs/>
      <w:color w:val="4F81BD" w:themeColor="accent1"/>
      <w:sz w:val="32"/>
      <w:szCs w:val="26"/>
      <w:lang w:eastAsia="en-AU"/>
    </w:rPr>
  </w:style>
  <w:style w:type="paragraph" w:styleId="FootnoteText">
    <w:name w:val="footnote text"/>
    <w:basedOn w:val="Normal"/>
    <w:link w:val="FootnoteTextChar"/>
    <w:uiPriority w:val="99"/>
    <w:semiHidden/>
    <w:unhideWhenUsed/>
    <w:rsid w:val="0088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CFF"/>
    <w:rPr>
      <w:sz w:val="20"/>
      <w:szCs w:val="20"/>
    </w:rPr>
  </w:style>
  <w:style w:type="character" w:styleId="FootnoteReference">
    <w:name w:val="footnote reference"/>
    <w:basedOn w:val="DefaultParagraphFont"/>
    <w:uiPriority w:val="99"/>
    <w:semiHidden/>
    <w:unhideWhenUsed/>
    <w:rsid w:val="00881CFF"/>
    <w:rPr>
      <w:vertAlign w:val="superscript"/>
    </w:rPr>
  </w:style>
  <w:style w:type="paragraph" w:styleId="PlainText">
    <w:name w:val="Plain Text"/>
    <w:basedOn w:val="Normal"/>
    <w:link w:val="PlainTextChar"/>
    <w:uiPriority w:val="99"/>
    <w:semiHidden/>
    <w:unhideWhenUsed/>
    <w:rsid w:val="0031385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13859"/>
    <w:rPr>
      <w:rFonts w:ascii="Calibri" w:hAnsi="Calibri" w:cs="Consolas"/>
      <w:szCs w:val="21"/>
    </w:rPr>
  </w:style>
  <w:style w:type="paragraph" w:styleId="NormalWeb">
    <w:name w:val="Normal (Web)"/>
    <w:basedOn w:val="Normal"/>
    <w:uiPriority w:val="99"/>
    <w:unhideWhenUsed/>
    <w:rsid w:val="0085774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80694">
      <w:bodyDiv w:val="1"/>
      <w:marLeft w:val="0"/>
      <w:marRight w:val="0"/>
      <w:marTop w:val="0"/>
      <w:marBottom w:val="0"/>
      <w:divBdr>
        <w:top w:val="none" w:sz="0" w:space="0" w:color="auto"/>
        <w:left w:val="none" w:sz="0" w:space="0" w:color="auto"/>
        <w:bottom w:val="none" w:sz="0" w:space="0" w:color="auto"/>
        <w:right w:val="none" w:sz="0" w:space="0" w:color="auto"/>
      </w:divBdr>
    </w:div>
    <w:div w:id="17166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ric.wa.gov.au/myweedwatch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gric.wa.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B662E-C54B-47E2-A027-55DBB51E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Shire of Goomalling</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Wilkes</dc:creator>
  <cp:lastModifiedBy>Tahnee Bird</cp:lastModifiedBy>
  <cp:revision>5</cp:revision>
  <cp:lastPrinted>2016-11-23T02:05:00Z</cp:lastPrinted>
  <dcterms:created xsi:type="dcterms:W3CDTF">2016-11-22T08:49:00Z</dcterms:created>
  <dcterms:modified xsi:type="dcterms:W3CDTF">2016-11-23T02:05:00Z</dcterms:modified>
</cp:coreProperties>
</file>